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仿宋_GB2312"/>
          <w:b/>
          <w:bCs/>
          <w:color w:val="auto"/>
          <w:sz w:val="28"/>
          <w:szCs w:val="28"/>
          <w:lang w:bidi="ar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bidi="ar"/>
        </w:rPr>
        <w:t>附件3</w:t>
      </w: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海口市“无废工厂（固废利用类）”创建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申报材料</w:t>
      </w:r>
    </w:p>
    <w:bookmarkEnd w:id="1"/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jc w:val="center"/>
        <w:rPr>
          <w:rFonts w:cs="黑体" w:asciiTheme="majorEastAsia" w:hAnsiTheme="majorEastAsia" w:eastAsiaTheme="majorEastAsia"/>
          <w:b/>
          <w:bCs/>
          <w:color w:val="auto"/>
          <w:sz w:val="44"/>
          <w:szCs w:val="44"/>
        </w:rPr>
      </w:pPr>
    </w:p>
    <w:p>
      <w:pPr>
        <w:spacing w:line="360" w:lineRule="auto"/>
        <w:jc w:val="center"/>
        <w:rPr>
          <w:rFonts w:cs="黑体" w:asciiTheme="majorEastAsia" w:hAnsiTheme="majorEastAsia" w:eastAsiaTheme="majorEastAsia"/>
          <w:b/>
          <w:bCs/>
          <w:color w:val="auto"/>
          <w:sz w:val="32"/>
          <w:szCs w:val="32"/>
        </w:rPr>
      </w:pPr>
      <w:r>
        <w:rPr>
          <w:rFonts w:hint="eastAsia" w:cs="黑体" w:asciiTheme="majorEastAsia" w:hAnsiTheme="majorEastAsia" w:eastAsiaTheme="majorEastAsia"/>
          <w:b/>
          <w:bCs/>
          <w:color w:val="auto"/>
          <w:sz w:val="32"/>
          <w:szCs w:val="32"/>
        </w:rPr>
        <w:t>申报单位：</w:t>
      </w:r>
      <w:r>
        <w:rPr>
          <w:rFonts w:cs="黑体" w:asciiTheme="majorEastAsia" w:hAnsiTheme="majorEastAsia" w:eastAsiaTheme="majorEastAsia"/>
          <w:b/>
          <w:bCs/>
          <w:color w:val="auto"/>
          <w:sz w:val="32"/>
          <w:szCs w:val="32"/>
          <w:u w:val="single"/>
        </w:rPr>
        <w:t>_______________________</w:t>
      </w:r>
    </w:p>
    <w:p>
      <w:pPr>
        <w:spacing w:line="360" w:lineRule="auto"/>
        <w:jc w:val="center"/>
        <w:rPr>
          <w:rFonts w:cs="黑体" w:asciiTheme="majorEastAsia" w:hAnsiTheme="majorEastAsia" w:eastAsiaTheme="majorEastAsia"/>
          <w:b/>
          <w:bCs/>
          <w:color w:val="auto"/>
          <w:sz w:val="32"/>
          <w:szCs w:val="32"/>
          <w:u w:val="single"/>
        </w:rPr>
      </w:pPr>
      <w:r>
        <w:rPr>
          <w:rFonts w:hint="eastAsia" w:cs="黑体" w:asciiTheme="majorEastAsia" w:hAnsiTheme="majorEastAsia" w:eastAsiaTheme="majorEastAsia"/>
          <w:b/>
          <w:bCs/>
          <w:color w:val="auto"/>
          <w:sz w:val="32"/>
          <w:szCs w:val="32"/>
        </w:rPr>
        <w:t>申报时间：</w:t>
      </w:r>
      <w:r>
        <w:rPr>
          <w:rFonts w:cs="黑体" w:asciiTheme="majorEastAsia" w:hAnsiTheme="majorEastAsia" w:eastAsiaTheme="majorEastAsia"/>
          <w:b/>
          <w:bCs/>
          <w:color w:val="auto"/>
          <w:sz w:val="32"/>
          <w:szCs w:val="32"/>
          <w:u w:val="single"/>
        </w:rPr>
        <w:t>_______________________</w:t>
      </w:r>
    </w:p>
    <w:p>
      <w:pPr>
        <w:spacing w:line="360" w:lineRule="auto"/>
        <w:jc w:val="center"/>
        <w:rPr>
          <w:rFonts w:cs="黑体" w:asciiTheme="majorEastAsia" w:hAnsiTheme="majorEastAsia" w:eastAsiaTheme="majorEastAsia"/>
          <w:b/>
          <w:bCs/>
          <w:color w:val="auto"/>
          <w:sz w:val="32"/>
          <w:szCs w:val="32"/>
          <w:u w:val="single"/>
        </w:rPr>
      </w:pPr>
    </w:p>
    <w:p>
      <w:pPr>
        <w:widowControl/>
        <w:jc w:val="left"/>
        <w:rPr>
          <w:rFonts w:ascii="Times New Roman" w:hAnsi="Times New Roman" w:eastAsia="黑体" w:cs="黑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黑体" w:cs="黑体"/>
          <w:b/>
          <w:bCs/>
          <w:color w:val="auto"/>
          <w:sz w:val="32"/>
          <w:szCs w:val="32"/>
        </w:rPr>
        <w:br w:type="page"/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2158"/>
        <w:gridCol w:w="1774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Cs/>
                <w:color w:val="auto"/>
                <w:kern w:val="0"/>
                <w:sz w:val="28"/>
                <w:szCs w:val="28"/>
              </w:rPr>
              <w:t>企业基本信息表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36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36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所属行业</w:t>
            </w:r>
          </w:p>
        </w:tc>
        <w:tc>
          <w:tcPr>
            <w:tcW w:w="36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36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 xml:space="preserve">内资（□国有□集体□民营） </w:t>
            </w:r>
            <w:r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□中外合资</w:t>
            </w:r>
          </w:p>
          <w:p>
            <w:pPr>
              <w:widowControl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 xml:space="preserve">□港澳台 </w:t>
            </w:r>
            <w:r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□外商独资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员工人数</w:t>
            </w:r>
          </w:p>
        </w:tc>
        <w:tc>
          <w:tcPr>
            <w:tcW w:w="36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主要产品与产能</w:t>
            </w:r>
          </w:p>
        </w:tc>
        <w:tc>
          <w:tcPr>
            <w:tcW w:w="36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企业法定代表人</w:t>
            </w:r>
          </w:p>
        </w:tc>
        <w:tc>
          <w:tcPr>
            <w:tcW w:w="12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企业联系人</w:t>
            </w: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联系人电话</w:t>
            </w:r>
          </w:p>
        </w:tc>
        <w:tc>
          <w:tcPr>
            <w:tcW w:w="12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6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560" w:firstLineChars="200"/>
              <w:jc w:val="left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  <w:t>本企业承诺，上报材料真实有效，若存在弄虚作假，本企业愿承担责任。</w:t>
            </w:r>
          </w:p>
          <w:p>
            <w:pPr>
              <w:widowControl/>
              <w:wordWrap w:val="0"/>
              <w:spacing w:line="360" w:lineRule="auto"/>
              <w:ind w:right="240"/>
              <w:jc w:val="right"/>
              <w:rPr>
                <w:rFonts w:ascii="Times New Roman" w:hAnsi="Times New Roman" w:eastAsia="仿宋_GB2312" w:cs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ind w:right="720"/>
              <w:jc w:val="center"/>
              <w:rPr>
                <w:rFonts w:ascii="Times New Roman" w:hAnsi="Times New Roman" w:eastAsia="仿宋_GB2312" w:cs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8"/>
                <w:szCs w:val="28"/>
              </w:rPr>
              <w:t xml:space="preserve">                    负责人（签字）：             </w:t>
            </w:r>
          </w:p>
          <w:p>
            <w:pPr>
              <w:widowControl/>
              <w:spacing w:line="360" w:lineRule="auto"/>
              <w:ind w:right="240"/>
              <w:jc w:val="right"/>
              <w:rPr>
                <w:rFonts w:ascii="Times New Roman" w:hAnsi="Times New Roman" w:eastAsia="仿宋_GB2312" w:cs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ind w:firstLine="6263" w:firstLineChars="2228"/>
              <w:rPr>
                <w:rFonts w:ascii="Times New Roman" w:hAnsi="Times New Roman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8"/>
                <w:szCs w:val="28"/>
              </w:rPr>
              <w:t>（单位公章）</w:t>
            </w:r>
          </w:p>
        </w:tc>
      </w:tr>
    </w:tbl>
    <w:p>
      <w:pPr>
        <w:spacing w:line="560" w:lineRule="exact"/>
        <w:ind w:firstLine="640" w:firstLineChars="200"/>
        <w:outlineLvl w:val="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一、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基本情况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1、企业简介。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、企业环保手续履行情况。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、企业产品及生产工艺流程、主要耗能设备等情况。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、企业原辅材料消耗品种、数量、来源等情况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使用工业固体废物与其他原辅料的占比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5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、企业固体废物产生种类、产生量、产生环节，以及贮存、利用、处置等情况。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6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、企业固体废物贮存设施、自行利用处置设施建设及运行情况、委托处理处置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现状与计划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7、企业质量及环境管理体系建设情况。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8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、企业实施清洁生产、开展绿色工厂建设等情况，包括采取的具体措施及达到的效果等。</w:t>
      </w:r>
    </w:p>
    <w:p>
      <w:pPr>
        <w:spacing w:line="560" w:lineRule="exact"/>
        <w:ind w:firstLine="640" w:firstLineChars="20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二、固体废物减量化及处置利用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情况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统计近三年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成立不足三年从试营业开始统计，以下相同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固体废物减量化及处置利用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情况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。</w:t>
      </w:r>
    </w:p>
    <w:p>
      <w:pPr>
        <w:autoSpaceDN w:val="0"/>
        <w:spacing w:line="560" w:lineRule="exact"/>
        <w:ind w:firstLine="643" w:firstLineChars="200"/>
        <w:rPr>
          <w:rFonts w:hint="default" w:ascii="Times New Roman" w:hAnsi="Times New Roman" w:eastAsia="仿宋_GB2312" w:cs="仿宋_GB2312"/>
          <w:b/>
          <w:color w:val="auto"/>
          <w:sz w:val="32"/>
          <w:szCs w:val="32"/>
          <w:lang w:val="en-US" w:eastAsia="zh-CN"/>
        </w:rPr>
      </w:pPr>
      <w:bookmarkStart w:id="0" w:name="_Hlk125899296"/>
      <w:r>
        <w:rPr>
          <w:rFonts w:hint="eastAsia" w:ascii="Times New Roman" w:hAnsi="Times New Roman" w:eastAsia="仿宋_GB2312" w:cs="仿宋_GB2312"/>
          <w:b/>
          <w:color w:val="auto"/>
          <w:sz w:val="32"/>
          <w:szCs w:val="32"/>
        </w:rPr>
        <w:t>1、工业固体废物减量化及处置利用</w:t>
      </w:r>
      <w:bookmarkEnd w:id="0"/>
      <w:r>
        <w:rPr>
          <w:rFonts w:hint="eastAsia" w:ascii="Times New Roman" w:hAnsi="Times New Roman" w:eastAsia="仿宋_GB2312" w:cs="仿宋_GB2312"/>
          <w:b/>
          <w:color w:val="auto"/>
          <w:sz w:val="32"/>
          <w:szCs w:val="32"/>
          <w:lang w:val="en-US" w:eastAsia="zh-CN"/>
        </w:rPr>
        <w:t>情况</w:t>
      </w:r>
    </w:p>
    <w:p>
      <w:pPr>
        <w:autoSpaceDN w:val="0"/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（1）工业固体废物源头减量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情况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企业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已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实施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降低工业固体废物产生强度的举措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并计算近三年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产生强度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变化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。</w:t>
      </w:r>
    </w:p>
    <w:p>
      <w:pPr>
        <w:snapToGrid w:val="0"/>
        <w:ind w:firstLine="480" w:firstLineChars="200"/>
        <w:jc w:val="center"/>
        <w:rPr>
          <w:rFonts w:hint="eastAsia" w:ascii="Times New Roman" w:hAnsi="Times New Roman" w:eastAsia="黑体" w:cs="黑体"/>
          <w:color w:val="auto"/>
          <w:kern w:val="0"/>
          <w:sz w:val="24"/>
          <w:szCs w:val="21"/>
          <w:lang w:eastAsia="zh-CN"/>
        </w:rPr>
      </w:pP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</w:rPr>
        <w:t>表2</w:t>
      </w:r>
      <w:r>
        <w:rPr>
          <w:rFonts w:ascii="Times New Roman" w:hAnsi="Times New Roman" w:eastAsia="黑体" w:cs="黑体"/>
          <w:color w:val="auto"/>
          <w:kern w:val="0"/>
          <w:sz w:val="24"/>
          <w:szCs w:val="21"/>
        </w:rPr>
        <w:t>-1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</w:rPr>
        <w:t xml:space="preserve"> 近三年工业固体废物产生强度统计表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  <w:lang w:eastAsia="zh-CN"/>
        </w:rPr>
        <w:t>（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  <w:lang w:val="en-US" w:eastAsia="zh-CN"/>
        </w:rPr>
        <w:t>例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  <w:lang w:eastAsia="zh-CN"/>
        </w:rPr>
        <w:t>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013"/>
        <w:gridCol w:w="2264"/>
        <w:gridCol w:w="2264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2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一般工业固废</w:t>
            </w: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年份</w:t>
            </w: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产生量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（吨）</w:t>
            </w: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hint="default" w:ascii="Times New Roman" w:hAnsi="Times New Roman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工业增加值</w:t>
            </w:r>
          </w:p>
          <w:p>
            <w:pPr>
              <w:autoSpaceDN w:val="0"/>
              <w:spacing w:line="276" w:lineRule="auto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（万元）</w:t>
            </w: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产生强度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（吨/万元）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危险废物</w:t>
            </w: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年份</w:t>
            </w: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产生量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（吨）</w:t>
            </w: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工业增加值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（万元）</w:t>
            </w: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产生强度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（吨/万元）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tLeast"/>
        <w:ind w:firstLine="0" w:firstLineChars="0"/>
        <w:textAlignment w:val="auto"/>
        <w:rPr>
          <w:rFonts w:hint="default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注：企业根据实际情况，合理选择工业增加值（万元）或工业生产值（万元）或产品产量（吨）计算产生强度。</w:t>
      </w:r>
    </w:p>
    <w:p>
      <w:pPr>
        <w:autoSpaceDN w:val="0"/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（2）工业固体废物资源化利用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情况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简述企业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工业固体废物综合利用率情况。包括企业自行开展工业固体废物资源化利用、委托他人进行资源化利用等情况，并计算近三年工业固体废物综合利用率。</w:t>
      </w:r>
    </w:p>
    <w:p>
      <w:pPr>
        <w:snapToGrid w:val="0"/>
        <w:ind w:firstLine="480" w:firstLineChars="200"/>
        <w:jc w:val="center"/>
        <w:rPr>
          <w:rFonts w:ascii="Times New Roman" w:hAnsi="Times New Roman" w:eastAsia="黑体" w:cs="黑体"/>
          <w:color w:val="auto"/>
          <w:kern w:val="0"/>
          <w:sz w:val="24"/>
          <w:szCs w:val="21"/>
        </w:rPr>
      </w:pP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</w:rPr>
        <w:t>表2</w:t>
      </w:r>
      <w:r>
        <w:rPr>
          <w:rFonts w:ascii="Times New Roman" w:hAnsi="Times New Roman" w:eastAsia="黑体" w:cs="黑体"/>
          <w:color w:val="auto"/>
          <w:kern w:val="0"/>
          <w:sz w:val="24"/>
          <w:szCs w:val="21"/>
        </w:rPr>
        <w:t>-2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</w:rPr>
        <w:t xml:space="preserve"> 近三年工业固体废物综合利用率统计表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  <w:lang w:eastAsia="zh-CN"/>
        </w:rPr>
        <w:t>（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  <w:lang w:val="en-US" w:eastAsia="zh-CN"/>
        </w:rPr>
        <w:t>例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  <w:lang w:eastAsia="zh-CN"/>
        </w:rPr>
        <w:t>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939"/>
        <w:gridCol w:w="1695"/>
        <w:gridCol w:w="1695"/>
        <w:gridCol w:w="1695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一般工业固废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年份</w:t>
            </w: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产生量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（吨）</w:t>
            </w: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综合利用量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（吨）</w:t>
            </w: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综合利用往年贮存量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（吨）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综合利用率（%）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危险废物</w:t>
            </w: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年份</w:t>
            </w: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产生量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（吨）</w:t>
            </w: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综合利用量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（吨）</w:t>
            </w: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综合利用往年贮存量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（吨）</w:t>
            </w: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综合利用率（%）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5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9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tLeast"/>
        <w:ind w:firstLine="48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注：1.综合利用量包含综合利用往年贮存量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tLeast"/>
        <w:ind w:firstLine="960" w:firstLineChars="4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2.综合利用率=综合利用量/（产生量＋综合利用往年贮存量）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（3）工业固体废物最终处置情况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bCs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近三年工业固体废物最终处置情况。包括企业工业固体废物最终处置情况、转移联单制度和委托合同情况、以及第三方处置单位资质及能力等情况。</w:t>
      </w:r>
    </w:p>
    <w:p>
      <w:pPr>
        <w:autoSpaceDN w:val="0"/>
        <w:spacing w:line="560" w:lineRule="exact"/>
        <w:ind w:firstLine="643" w:firstLineChars="200"/>
        <w:rPr>
          <w:rFonts w:ascii="Times New Roman" w:hAnsi="Times New Roman" w:eastAsia="仿宋_GB2312" w:cs="仿宋_GB2312"/>
          <w:b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b/>
          <w:color w:val="auto"/>
          <w:sz w:val="32"/>
          <w:szCs w:val="32"/>
        </w:rPr>
        <w:t>、生活垃圾减量化及处置利用情况</w:t>
      </w:r>
    </w:p>
    <w:p>
      <w:pPr>
        <w:spacing w:line="560" w:lineRule="exact"/>
        <w:ind w:left="166" w:firstLine="640" w:firstLineChars="200"/>
        <w:rPr>
          <w:rFonts w:ascii="Times New Roman" w:hAnsi="Times New Roman" w:eastAsia="宋体" w:cs="宋体"/>
          <w:color w:val="auto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近三年企业生活垃圾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（包含餐厨垃圾）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源头减量化及处置利用情况。包括企业生活垃圾减量化、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回收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利用措施，最终处置去向等情况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，以及企业禁塑工作开展情况。</w:t>
      </w:r>
      <w:r>
        <w:rPr>
          <w:rFonts w:ascii="Times New Roman" w:hAnsi="Times New Roman" w:eastAsia="宋体" w:cs="宋体"/>
          <w:color w:val="auto"/>
        </w:rPr>
        <w:t xml:space="preserve"> </w:t>
      </w:r>
    </w:p>
    <w:p>
      <w:pPr>
        <w:spacing w:line="560" w:lineRule="exact"/>
        <w:ind w:firstLine="640" w:firstLineChars="200"/>
        <w:outlineLvl w:val="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三、节能节水措施及温室气体排放情况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1、企业节水及水资源化利用情况。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、企业节能措施和可再生能源使用情况。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3、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近三年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企业温室气体排放情况。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参照《工业其他企业温室气体排放核算方法与报告指南（试行）》等方法学确定企业现状碳排放核算的核算边界，从化石燃料燃烧、净购入使用电力、废物处理等环节核算企业近三年温室气体排放情况。</w:t>
      </w:r>
    </w:p>
    <w:p>
      <w:pPr>
        <w:snapToGrid w:val="0"/>
        <w:ind w:firstLine="480" w:firstLineChars="200"/>
        <w:jc w:val="center"/>
        <w:rPr>
          <w:rFonts w:ascii="Times New Roman" w:hAnsi="Times New Roman" w:eastAsia="黑体" w:cs="黑体"/>
          <w:color w:val="auto"/>
          <w:kern w:val="0"/>
          <w:sz w:val="24"/>
          <w:szCs w:val="21"/>
        </w:rPr>
      </w:pP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</w:rPr>
        <w:t>表</w:t>
      </w:r>
      <w:r>
        <w:rPr>
          <w:rFonts w:ascii="Times New Roman" w:hAnsi="Times New Roman" w:eastAsia="黑体" w:cs="黑体"/>
          <w:color w:val="auto"/>
          <w:kern w:val="0"/>
          <w:sz w:val="24"/>
          <w:szCs w:val="21"/>
        </w:rPr>
        <w:t>3-1</w:t>
      </w:r>
      <w:r>
        <w:rPr>
          <w:rFonts w:hint="eastAsia" w:ascii="Times New Roman" w:hAnsi="Times New Roman" w:eastAsia="黑体" w:cs="黑体"/>
          <w:color w:val="auto"/>
          <w:kern w:val="0"/>
          <w:sz w:val="24"/>
          <w:szCs w:val="21"/>
        </w:rPr>
        <w:t xml:space="preserve"> 近三年温室气体排放强度统计表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2263"/>
        <w:gridCol w:w="2263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年份</w:t>
            </w: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二氧化碳排放量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（t</w:t>
            </w:r>
            <w:r>
              <w:rPr>
                <w:rFonts w:ascii="Times New Roman" w:hAnsi="Times New Roman" w:eastAsia="仿宋_GB2312" w:cs="仿宋_GB2312"/>
                <w:color w:val="auto"/>
                <w:sz w:val="24"/>
              </w:rPr>
              <w:t>CO</w:t>
            </w:r>
            <w:r>
              <w:rPr>
                <w:rFonts w:ascii="Times New Roman" w:hAnsi="Times New Roman" w:eastAsia="仿宋_GB2312" w:cs="仿宋_GB2312"/>
                <w:color w:val="auto"/>
                <w:sz w:val="24"/>
                <w:vertAlign w:val="subscript"/>
              </w:rPr>
              <w:t>2</w:t>
            </w:r>
            <w:r>
              <w:rPr>
                <w:rFonts w:ascii="Times New Roman" w:hAnsi="Times New Roman" w:eastAsia="仿宋_GB2312" w:cs="仿宋_GB2312"/>
                <w:color w:val="auto"/>
                <w:sz w:val="24"/>
              </w:rPr>
              <w:t>e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）</w:t>
            </w: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工业增加值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（万元）</w:t>
            </w:r>
          </w:p>
        </w:tc>
        <w:tc>
          <w:tcPr>
            <w:tcW w:w="1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排放强度</w:t>
            </w:r>
          </w:p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（t</w:t>
            </w:r>
            <w:r>
              <w:rPr>
                <w:rFonts w:ascii="Times New Roman" w:hAnsi="Times New Roman" w:eastAsia="仿宋_GB2312" w:cs="仿宋_GB2312"/>
                <w:color w:val="auto"/>
                <w:sz w:val="24"/>
              </w:rPr>
              <w:t>CO</w:t>
            </w:r>
            <w:r>
              <w:rPr>
                <w:rFonts w:ascii="Times New Roman" w:hAnsi="Times New Roman" w:eastAsia="仿宋_GB2312" w:cs="仿宋_GB2312"/>
                <w:color w:val="auto"/>
                <w:sz w:val="24"/>
                <w:vertAlign w:val="subscript"/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</w:rPr>
              <w:t>e/万元）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  <w:tc>
          <w:tcPr>
            <w:tcW w:w="1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276" w:lineRule="auto"/>
              <w:jc w:val="center"/>
              <w:rPr>
                <w:rFonts w:ascii="Times New Roman" w:hAnsi="Times New Roman" w:eastAsia="仿宋_GB2312" w:cs="仿宋_GB2312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tLeast"/>
        <w:ind w:firstLine="48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注：1.温室气体全球变暖潜势值参照《海南省建设项目碳排放环境影响评价技术指南（试行）》附录B，海南省省级电网平均二氧化碳排放因子为0.5147 tCO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/MWh，后续该数据有更新的，以更新数据为主。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tLeast"/>
        <w:ind w:firstLine="960" w:firstLineChars="4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24"/>
          <w:szCs w:val="24"/>
          <w:lang w:val="en-US" w:eastAsia="zh-CN"/>
        </w:rPr>
        <w:t>2.企业根据实际情况，合理选择工业增加值（万元）或工业生产值（万元）或产品产量（吨）计算产生强度。</w:t>
      </w:r>
    </w:p>
    <w:p>
      <w:pPr>
        <w:spacing w:line="560" w:lineRule="exact"/>
        <w:ind w:firstLine="640" w:firstLineChars="200"/>
        <w:outlineLvl w:val="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四、组织管理与制度建设情况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1、企业固体废物合规性管理等相关体系、制度建设情况、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  <w:lang w:val="en-US" w:eastAsia="zh-CN"/>
        </w:rPr>
        <w:t>“无废工厂（固废利用类）”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建设组织机构等情况。</w:t>
      </w:r>
    </w:p>
    <w:p>
      <w:pPr>
        <w:autoSpaceDN w:val="0"/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2、企业工业固体废物减量化、资源化、无害化技术研究及应用示范情况。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3、企业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开展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以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“无废城市”、“无废工厂（固废利用类）”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为主题的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宣传工作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，定期为员工提供相关知识的教育、培训等情况。</w:t>
      </w:r>
    </w:p>
    <w:p>
      <w:pPr>
        <w:spacing w:line="560" w:lineRule="exact"/>
        <w:ind w:firstLine="640" w:firstLineChars="20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五、创建计划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与可达性分析</w:t>
      </w:r>
    </w:p>
    <w:p>
      <w:pPr>
        <w:spacing w:line="560" w:lineRule="exact"/>
        <w:ind w:firstLine="640" w:firstLineChars="200"/>
        <w:rPr>
          <w:rFonts w:hint="default" w:ascii="仿宋_GB2312" w:hAnsi="Calibri" w:eastAsia="仿宋_GB2312" w:cs="Times New Roman"/>
          <w:color w:val="auto"/>
          <w:sz w:val="32"/>
          <w:szCs w:val="48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48"/>
        </w:rPr>
        <w:t>结合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  <w:lang w:val="en-US" w:eastAsia="zh-CN"/>
        </w:rPr>
        <w:t>以上现状与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</w:rPr>
        <w:t>企业实际，合理制定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“无废工厂（固废利用类）”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</w:rPr>
        <w:t>建设目标指标，提出废物减量化、资源化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  <w:lang w:val="en-US" w:eastAsia="zh-CN"/>
        </w:rPr>
        <w:t>和宣传等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</w:rPr>
        <w:t>计划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  <w:lang w:eastAsia="zh-CN"/>
        </w:rPr>
        <w:t>，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  <w:lang w:val="en-US" w:eastAsia="zh-CN"/>
        </w:rPr>
        <w:t>并结合《海口市“无废工厂（固废利用类）”创建考核细则》（附件2）分析目标完成与预计得分情况。</w:t>
      </w:r>
    </w:p>
    <w:p>
      <w:pPr>
        <w:spacing w:line="560" w:lineRule="exact"/>
        <w:ind w:firstLine="640" w:firstLineChars="200"/>
        <w:outlineLvl w:val="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六、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保障措施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color w:val="auto"/>
          <w:sz w:val="32"/>
          <w:szCs w:val="40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围绕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  <w:lang w:val="en-US" w:eastAsia="zh-CN"/>
        </w:rPr>
        <w:t>“无废工厂（固废利用类）”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</w:rPr>
        <w:t>创建的目标指标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，从组织领导、方案实施、资金投入、技术创新等方面提出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  <w:lang w:val="en-US" w:eastAsia="zh-CN"/>
        </w:rPr>
        <w:t>“无废工厂（固废利用类）”</w:t>
      </w:r>
      <w:r>
        <w:rPr>
          <w:rFonts w:hint="eastAsia" w:ascii="仿宋_GB2312" w:hAnsi="Calibri" w:eastAsia="仿宋_GB2312" w:cs="Times New Roman"/>
          <w:color w:val="auto"/>
          <w:sz w:val="32"/>
          <w:szCs w:val="48"/>
        </w:rPr>
        <w:t>创建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的保障措施。</w:t>
      </w:r>
    </w:p>
    <w:p>
      <w:pPr>
        <w:spacing w:line="560" w:lineRule="exact"/>
        <w:ind w:firstLine="640" w:firstLineChars="200"/>
        <w:rPr>
          <w:rFonts w:ascii="仿宋_GB2312" w:hAnsi="Calibri" w:eastAsia="仿宋_GB2312" w:cs="Times New Roman"/>
          <w:color w:val="auto"/>
          <w:sz w:val="32"/>
          <w:szCs w:val="40"/>
        </w:rPr>
      </w:pPr>
    </w:p>
    <w:p>
      <w:pPr>
        <w:spacing w:line="560" w:lineRule="exact"/>
        <w:ind w:firstLine="640" w:firstLineChars="200"/>
        <w:outlineLvl w:val="0"/>
        <w:rPr>
          <w:rFonts w:hint="eastAsia" w:ascii="黑体" w:hAnsi="黑体" w:eastAsia="黑体" w:cs="仿宋_GB2312"/>
          <w:color w:val="auto"/>
          <w:sz w:val="32"/>
          <w:lang w:eastAsia="zh-CN"/>
        </w:rPr>
      </w:pPr>
      <w:r>
        <w:rPr>
          <w:rFonts w:hint="eastAsia" w:ascii="黑体" w:hAnsi="黑体" w:eastAsia="黑体" w:cs="仿宋_GB2312"/>
          <w:color w:val="auto"/>
          <w:sz w:val="32"/>
        </w:rPr>
        <w:t>附件</w:t>
      </w:r>
      <w:r>
        <w:rPr>
          <w:rFonts w:hint="eastAsia" w:ascii="黑体" w:hAnsi="黑体" w:eastAsia="黑体" w:cs="仿宋_GB2312"/>
          <w:color w:val="auto"/>
          <w:sz w:val="32"/>
          <w:lang w:eastAsia="zh-CN"/>
        </w:rPr>
        <w:t>（</w:t>
      </w:r>
      <w:r>
        <w:rPr>
          <w:rFonts w:hint="eastAsia" w:ascii="黑体" w:hAnsi="黑体" w:eastAsia="黑体" w:cs="仿宋_GB2312"/>
          <w:color w:val="auto"/>
          <w:sz w:val="32"/>
          <w:lang w:val="en-US" w:eastAsia="zh-CN"/>
        </w:rPr>
        <w:t>包括但不限于以下佐证材料</w:t>
      </w:r>
      <w:r>
        <w:rPr>
          <w:rFonts w:hint="eastAsia" w:ascii="黑体" w:hAnsi="黑体" w:eastAsia="黑体" w:cs="仿宋_GB2312"/>
          <w:color w:val="auto"/>
          <w:sz w:val="32"/>
          <w:lang w:eastAsia="zh-CN"/>
        </w:rPr>
        <w:t>）：</w:t>
      </w:r>
    </w:p>
    <w:p>
      <w:pPr>
        <w:pStyle w:val="7"/>
        <w:numPr>
          <w:ilvl w:val="0"/>
          <w:numId w:val="1"/>
        </w:numPr>
        <w:spacing w:line="560" w:lineRule="exact"/>
        <w:ind w:left="0" w:firstLine="640"/>
        <w:rPr>
          <w:rFonts w:ascii="仿宋_GB2312" w:hAnsi="Calibri" w:eastAsia="仿宋_GB2312" w:cs="Times New Roman"/>
          <w:color w:val="auto"/>
          <w:sz w:val="32"/>
          <w:szCs w:val="40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企业营业执照；</w:t>
      </w:r>
    </w:p>
    <w:p>
      <w:pPr>
        <w:pStyle w:val="7"/>
        <w:numPr>
          <w:ilvl w:val="0"/>
          <w:numId w:val="1"/>
        </w:numPr>
        <w:spacing w:line="560" w:lineRule="exact"/>
        <w:ind w:left="988" w:leftChars="303" w:hanging="352" w:hangingChars="110"/>
        <w:rPr>
          <w:rFonts w:hint="eastAsia" w:ascii="仿宋_GB2312" w:hAnsi="Calibri" w:eastAsia="仿宋_GB2312" w:cs="Times New Roman"/>
          <w:color w:val="auto"/>
          <w:sz w:val="32"/>
          <w:szCs w:val="40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近三年固体废物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  <w:lang w:val="en-US" w:eastAsia="zh-CN"/>
        </w:rPr>
        <w:t>产生量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统计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  <w:lang w:eastAsia="zh-CN"/>
        </w:rPr>
        <w:t>（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  <w:lang w:val="en-US" w:eastAsia="zh-CN"/>
        </w:rPr>
        <w:t>月、年度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  <w:lang w:eastAsia="zh-CN"/>
        </w:rPr>
        <w:t>）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  <w:lang w:val="en-US" w:eastAsia="zh-CN"/>
        </w:rPr>
        <w:t>与入、出库台账扫描件（最新一页）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；</w:t>
      </w:r>
    </w:p>
    <w:p>
      <w:pPr>
        <w:pStyle w:val="7"/>
        <w:numPr>
          <w:ilvl w:val="0"/>
          <w:numId w:val="1"/>
        </w:numPr>
        <w:spacing w:line="560" w:lineRule="exact"/>
        <w:ind w:left="988" w:leftChars="303" w:hanging="352" w:hangingChars="110"/>
        <w:rPr>
          <w:rFonts w:hint="eastAsia" w:ascii="仿宋_GB2312" w:hAnsi="Calibri" w:eastAsia="仿宋_GB2312" w:cs="Times New Roman"/>
          <w:color w:val="auto"/>
          <w:sz w:val="32"/>
          <w:szCs w:val="40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固体废物委托利用、处理处置合同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  <w:lang w:val="en-US" w:eastAsia="zh-CN"/>
        </w:rPr>
        <w:t>与转运联单等凭证扫描件（最新一次）</w:t>
      </w: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；</w:t>
      </w:r>
    </w:p>
    <w:p>
      <w:pPr>
        <w:pStyle w:val="7"/>
        <w:numPr>
          <w:ilvl w:val="0"/>
          <w:numId w:val="1"/>
        </w:numPr>
        <w:spacing w:line="560" w:lineRule="exact"/>
        <w:ind w:left="988" w:leftChars="303" w:hanging="352" w:hangingChars="110"/>
        <w:rPr>
          <w:rFonts w:ascii="仿宋_GB2312" w:hAnsi="Calibri" w:eastAsia="仿宋_GB2312" w:cs="Times New Roman"/>
          <w:color w:val="auto"/>
          <w:sz w:val="32"/>
          <w:szCs w:val="40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40"/>
        </w:rPr>
        <w:t>近三年能源消耗统计信息（天然气、汽油、柴油、电力等）。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-119380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4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1D6A94"/>
    <w:multiLevelType w:val="multilevel"/>
    <w:tmpl w:val="1B1D6A94"/>
    <w:lvl w:ilvl="0" w:tentative="0">
      <w:start w:val="1"/>
      <w:numFmt w:val="decimal"/>
      <w:suff w:val="space"/>
      <w:lvlText w:val="%1."/>
      <w:lvlJc w:val="left"/>
      <w:pPr>
        <w:ind w:left="440" w:hanging="44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zYTQ4ZjZkZGY1MDMyYzcwNTIzNzUwNmY1ZDlhNzEifQ=="/>
  </w:docVars>
  <w:rsids>
    <w:rsidRoot w:val="61C51653"/>
    <w:rsid w:val="132E61E2"/>
    <w:rsid w:val="1C893850"/>
    <w:rsid w:val="61C5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网格型1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3066</Words>
  <Characters>3114</Characters>
  <Lines>0</Lines>
  <Paragraphs>0</Paragraphs>
  <TotalTime>4</TotalTime>
  <ScaleCrop>false</ScaleCrop>
  <LinksUpToDate>false</LinksUpToDate>
  <CharactersWithSpaces>3114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2023-10-17T02:09:00Z</dcterms:created>
  <dc:creator>Lenovo</dc:creator>
  <cp:lastModifiedBy>Lenovo</cp:lastModifiedBy>
  <dcterms:modified xsi:type="dcterms:W3CDTF">2023-10-17T02:18:16Z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6AEF98A5742348DE904DC77070982FF0</vt:lpwstr>
  </property>
</Properties>
</file>